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6"/>
        <w:gridCol w:w="2069"/>
        <w:gridCol w:w="5010"/>
      </w:tblGrid>
      <w:tr w:rsidR="005850BF">
        <w:trPr>
          <w:trHeight w:val="1304"/>
        </w:trPr>
        <w:tc>
          <w:tcPr>
            <w:tcW w:w="2902" w:type="dxa"/>
          </w:tcPr>
          <w:p w:rsidR="005850BF" w:rsidRDefault="005850BF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5850BF" w:rsidRDefault="005850BF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50BF" w:rsidRDefault="000554EB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5850BF" w:rsidRDefault="000554EB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 городского округа Щёлково</w:t>
            </w:r>
          </w:p>
          <w:p w:rsidR="000554EB" w:rsidRPr="00C52DCF" w:rsidRDefault="000554EB" w:rsidP="000554EB">
            <w:pPr>
              <w:spacing w:after="0" w:line="276" w:lineRule="auto"/>
              <w:ind w:left="0" w:firstLine="0"/>
              <w:jc w:val="left"/>
              <w:rPr>
                <w:rStyle w:val="20"/>
                <w:b w:val="0"/>
                <w:bCs/>
                <w:sz w:val="28"/>
                <w:szCs w:val="28"/>
                <w:lang w:eastAsia="en-US" w:bidi="ar-SA"/>
              </w:rPr>
            </w:pPr>
            <w:r w:rsidRPr="00C52DCF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от</w:t>
            </w:r>
            <w:r w:rsidRPr="00C52DCF">
              <w:rPr>
                <w:rStyle w:val="20"/>
                <w:rFonts w:cs="Lucida Sans"/>
                <w:b w:val="0"/>
                <w:sz w:val="28"/>
                <w:szCs w:val="28"/>
                <w:u w:val="single"/>
                <w:lang w:eastAsia="en-US" w:bidi="ar-SA"/>
              </w:rPr>
              <w:t xml:space="preserve"> </w:t>
            </w:r>
            <w:r w:rsidRPr="00C52DCF">
              <w:rPr>
                <w:rStyle w:val="20"/>
                <w:b w:val="0"/>
                <w:sz w:val="28"/>
                <w:szCs w:val="28"/>
                <w:u w:val="single"/>
                <w:lang w:eastAsia="en-US" w:bidi="ar-SA"/>
              </w:rPr>
              <w:t xml:space="preserve">                      </w:t>
            </w:r>
            <w:r w:rsidRPr="00C52DCF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№_</w:t>
            </w:r>
            <w:r w:rsidRPr="00C52DCF">
              <w:rPr>
                <w:rStyle w:val="20"/>
                <w:b w:val="0"/>
                <w:sz w:val="28"/>
                <w:szCs w:val="28"/>
                <w:lang w:eastAsia="en-US" w:bidi="ar-SA"/>
              </w:rPr>
              <w:t>________</w:t>
            </w:r>
          </w:p>
          <w:p w:rsidR="000554EB" w:rsidRDefault="000554EB">
            <w:pPr>
              <w:spacing w:after="0" w:line="276" w:lineRule="auto"/>
              <w:ind w:left="0" w:firstLine="0"/>
              <w:jc w:val="left"/>
            </w:pPr>
          </w:p>
          <w:p w:rsidR="005850BF" w:rsidRDefault="00393AEF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5850BF" w:rsidRDefault="005850BF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5850BF" w:rsidRDefault="000554E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393AEF">
        <w:rPr>
          <w:rFonts w:ascii="Times New Roman" w:hAnsi="Times New Roman"/>
        </w:rPr>
        <w:t>дминистративн</w:t>
      </w:r>
      <w:r>
        <w:rPr>
          <w:rFonts w:ascii="Times New Roman" w:hAnsi="Times New Roman"/>
        </w:rPr>
        <w:t xml:space="preserve">ый </w:t>
      </w:r>
      <w:r w:rsidR="00393AEF">
        <w:rPr>
          <w:rFonts w:ascii="Times New Roman" w:hAnsi="Times New Roman"/>
        </w:rPr>
        <w:t>регламент предоставления</w:t>
      </w:r>
    </w:p>
    <w:p w:rsidR="005850BF" w:rsidRDefault="00393AEF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«Выдача ордера на право производства земляных работ на территории </w:t>
      </w:r>
      <w:r w:rsidR="000554EB">
        <w:rPr>
          <w:rFonts w:ascii="Times New Roman" w:hAnsi="Times New Roman"/>
        </w:rPr>
        <w:t xml:space="preserve">городского округа Щёлково </w:t>
      </w:r>
      <w:r>
        <w:rPr>
          <w:rFonts w:ascii="Times New Roman" w:hAnsi="Times New Roman"/>
        </w:rPr>
        <w:t>Московской области»</w:t>
      </w:r>
    </w:p>
    <w:p w:rsidR="005850BF" w:rsidRDefault="005850B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ордера на право производства земляных работ на территории 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336DA8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 w:rsidR="000554EB">
        <w:rPr>
          <w:rStyle w:val="20"/>
          <w:b w:val="0"/>
          <w:sz w:val="28"/>
          <w:szCs w:val="28"/>
          <w:lang w:eastAsia="en-US" w:bidi="ar-SA"/>
        </w:rPr>
        <w:t>городского округа Щёлково</w:t>
      </w:r>
      <w:r>
        <w:rPr>
          <w:sz w:val="28"/>
          <w:szCs w:val="28"/>
        </w:rPr>
        <w:t xml:space="preserve"> 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⁠–⁠ государственная информационная система обеспечения градостроительной деятельности Московской области.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www.gosuslugi.ru.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1.2.4. Земляные работы ⁠–⁠ работы, связанные со вскрытием грунта на глубину более 30 сантиметров (за исключением пахотных работ), забивкой и погружением свай при возведении объектов и сооружений всех видов, </w:t>
      </w:r>
      <w:r>
        <w:rPr>
          <w:sz w:val="28"/>
          <w:szCs w:val="28"/>
        </w:rPr>
        <w:lastRenderedPageBreak/>
        <w:t>подземных и наземных инженерных сетей, коммуникаций, а равно отсыпка грунтом на высоту более 50 сантиметров.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Электронный образ документа ⁠–⁠ электронная копия документа, полученная путем сканирования бумажного носителя с сохранением его реквизитов.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Личный кабинет ⁠–⁠ сервис РПГУ, ЕПГУ, позволяющий заявителю получать информацию о ходе обработки запросов, поданных посредством РПГУ, ЕПГУ.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336DA8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CB1A6F" w:rsidRDefault="00393AEF">
      <w:pPr>
        <w:pStyle w:val="a0"/>
        <w:spacing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>1.4. Предоставление Услуги возможно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составе комплекса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другими государственными и (или) муниципальными услугами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порядке, установленном законодательством Российской Федерации,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том числе Регламентом и </w:t>
      </w:r>
      <w:r w:rsidRPr="00CB1A6F">
        <w:rPr>
          <w:color w:val="auto"/>
          <w:sz w:val="28"/>
          <w:szCs w:val="28"/>
        </w:rPr>
        <w:t>административными регламентами предоставления других государственных и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(или) муниципальных услуг, входящих в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состав соответствующего комплекса государственных и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(или)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муниципальных услуг.</w:t>
      </w:r>
    </w:p>
    <w:p w:rsidR="005850BF" w:rsidRPr="00CB1A6F" w:rsidRDefault="005850BF">
      <w:pPr>
        <w:rPr>
          <w:color w:val="auto"/>
        </w:rPr>
        <w:sectPr w:rsidR="005850BF" w:rsidRPr="00CB1A6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CB1A6F" w:rsidRDefault="00393AEF">
      <w:pPr>
        <w:pStyle w:val="a0"/>
        <w:spacing w:after="0"/>
        <w:ind w:left="0" w:firstLine="709"/>
        <w:rPr>
          <w:color w:val="auto"/>
        </w:rPr>
      </w:pPr>
      <w:r w:rsidRPr="00CB1A6F">
        <w:rPr>
          <w:color w:val="auto"/>
          <w:sz w:val="28"/>
          <w:szCs w:val="28"/>
        </w:rPr>
        <w:t>1.5.</w:t>
      </w:r>
      <w:r w:rsidRPr="00CB1A6F">
        <w:rPr>
          <w:rStyle w:val="20"/>
          <w:b w:val="0"/>
          <w:color w:val="auto"/>
          <w:sz w:val="28"/>
          <w:szCs w:val="28"/>
        </w:rPr>
        <w:t> </w:t>
      </w:r>
      <w:r w:rsidRPr="00CB1A6F">
        <w:rPr>
          <w:color w:val="auto"/>
          <w:sz w:val="28"/>
          <w:szCs w:val="28"/>
        </w:rPr>
        <w:t>Ордер на право производства земляных работ не требуется в случаях, предусмотренных статьей 5.2 Градостроительного кодекса</w:t>
      </w:r>
      <w:r w:rsidR="00336DA8" w:rsidRPr="00CB1A6F">
        <w:rPr>
          <w:color w:val="auto"/>
          <w:sz w:val="28"/>
          <w:szCs w:val="28"/>
        </w:rPr>
        <w:t xml:space="preserve"> Российской Федерации, а также в</w:t>
      </w:r>
      <w:r w:rsidRPr="00CB1A6F">
        <w:rPr>
          <w:color w:val="auto"/>
          <w:sz w:val="28"/>
          <w:szCs w:val="28"/>
        </w:rPr>
        <w:t xml:space="preserve"> случаях, </w:t>
      </w:r>
      <w:r w:rsidR="00336DA8" w:rsidRPr="00CB1A6F">
        <w:rPr>
          <w:color w:val="auto"/>
          <w:sz w:val="28"/>
          <w:szCs w:val="28"/>
        </w:rPr>
        <w:t>предусмотренных законодательством Российской Федерации</w:t>
      </w:r>
      <w:r w:rsidRPr="00CB1A6F">
        <w:rPr>
          <w:color w:val="auto"/>
          <w:sz w:val="28"/>
          <w:szCs w:val="28"/>
        </w:rPr>
        <w:t>.</w:t>
      </w:r>
    </w:p>
    <w:p w:rsidR="005850BF" w:rsidRPr="00CB1A6F" w:rsidRDefault="005850BF">
      <w:pPr>
        <w:rPr>
          <w:color w:val="auto"/>
        </w:rPr>
        <w:sectPr w:rsidR="005850BF" w:rsidRPr="00CB1A6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</w:t>
      </w:r>
      <w:r>
        <w:rPr>
          <w:sz w:val="28"/>
          <w:szCs w:val="28"/>
        </w:rPr>
        <w:lastRenderedPageBreak/>
        <w:t xml:space="preserve">в результате анкетирования, проводимого </w:t>
      </w:r>
      <w:r w:rsidRPr="00336DA8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«Выдача ордера на право производства земляных работ на территории Московской области».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5850BF" w:rsidRDefault="005850BF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 w:rsidP="000554EB">
      <w:pPr>
        <w:pStyle w:val="a0"/>
        <w:spacing w:after="0"/>
        <w:ind w:left="0" w:firstLine="709"/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Услуги, является Администрация </w:t>
      </w:r>
      <w:r w:rsidR="000554EB">
        <w:rPr>
          <w:rStyle w:val="20"/>
          <w:b w:val="0"/>
          <w:sz w:val="28"/>
          <w:szCs w:val="28"/>
        </w:rPr>
        <w:t>.</w:t>
      </w:r>
      <w:bookmarkStart w:id="4" w:name="_Toc127216082"/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осуществляют структурные подразделения Администрации – </w:t>
      </w:r>
      <w:r w:rsidR="000554EB" w:rsidRPr="000554EB">
        <w:rPr>
          <w:sz w:val="28"/>
          <w:szCs w:val="28"/>
        </w:rPr>
        <w:t>отдел экологии и охраны окружающей среды Управления по содержанию территорий и обращению с ТКО Администрации городского округа Щёлково.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spacing w:after="0" w:line="276" w:lineRule="auto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закрытие ордера на право производства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«Уведомление о закрытии ордера на право производства земляных работ», который оформляется в соответствии с Приложением 2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право производства аварийно⁠-⁠восстановительных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аварийно⁠-⁠восстановительных работ», который оформляется в соответствии с Приложением 3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5.1.1.4.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переоформление (продление)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5.1.1.5.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производство земляных работ в рамках региональной программы по 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производство земляных работ в рамках региональной программы по социальной газификации», который оформляется в соответствии с Приложением 5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5"/>
      <w:bookmarkEnd w:id="6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="00364C2F" w:rsidRPr="00364C2F">
        <w:rPr>
          <w:sz w:val="28"/>
          <w:szCs w:val="28"/>
          <w:lang w:eastAsia="ar-SA"/>
        </w:rPr>
        <w:t>https://shhyolkovo.ru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7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7"/>
      <w:bookmarkEnd w:id="8"/>
      <w:r>
        <w:rPr>
          <w:b w:val="0"/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 xml:space="preserve"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</w:t>
      </w:r>
      <w:r>
        <w:rPr>
          <w:sz w:val="28"/>
          <w:szCs w:val="28"/>
        </w:rPr>
        <w:lastRenderedPageBreak/>
        <w:t>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8"/>
      <w:bookmarkEnd w:id="9"/>
      <w:r>
        <w:rPr>
          <w:b w:val="0"/>
          <w:bCs w:val="0"/>
          <w:sz w:val="28"/>
          <w:szCs w:val="28"/>
        </w:rPr>
        <w:t>9. Исчерпывающий перечень оснований для отказа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8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336DA8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9_Копия_1"/>
      <w:bookmarkEnd w:id="10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336DA8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336DA8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</w:t>
      </w:r>
      <w:r w:rsidRPr="00336DA8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0"/>
      <w:bookmarkEnd w:id="11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11.1. Услуга предоставляется бесплатно.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1"/>
      <w:bookmarkEnd w:id="12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2"/>
      <w:bookmarkEnd w:id="13"/>
      <w:r>
        <w:rPr>
          <w:b w:val="0"/>
          <w:bCs w:val="0"/>
          <w:sz w:val="28"/>
          <w:szCs w:val="28"/>
        </w:rPr>
        <w:t>13. Срок регистрации запроса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следующий рабочий день;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день обращения;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⁠–⁠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поступления;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⁠–⁠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поступления.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3"/>
      <w:bookmarkEnd w:id="14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</w:t>
      </w:r>
      <w:r>
        <w:rPr>
          <w:sz w:val="28"/>
          <w:szCs w:val="28"/>
        </w:rPr>
        <w:lastRenderedPageBreak/>
        <w:t>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4"/>
      <w:bookmarkEnd w:id="15"/>
      <w:r>
        <w:rPr>
          <w:b w:val="0"/>
          <w:bCs w:val="0"/>
          <w:sz w:val="28"/>
          <w:szCs w:val="28"/>
        </w:rPr>
        <w:t>15. Показатели качества и доступности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распечатанного на бумажном носителе экземпляра электронного документа осуществляется в любом МФЦ </w:t>
      </w:r>
      <w:r>
        <w:rPr>
          <w:sz w:val="28"/>
          <w:szCs w:val="28"/>
        </w:rPr>
        <w:lastRenderedPageBreak/>
        <w:t>в пределах территории Московской области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0554EB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 предоставления государственных и муниципальных услуг на территории </w:t>
      </w:r>
      <w:r>
        <w:rPr>
          <w:sz w:val="28"/>
          <w:szCs w:val="28"/>
        </w:rPr>
        <w:lastRenderedPageBreak/>
        <w:t>Московской области, утверждены постановлением Правительства Московской области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6"/>
      <w:bookmarkEnd w:id="4"/>
      <w:bookmarkEnd w:id="17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5850BF" w:rsidRPr="00336DA8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Pr="00336DA8" w:rsidRDefault="00393AEF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336DA8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5850BF" w:rsidRDefault="005850BF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87446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336DA8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87446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87446">
        <w:rPr>
          <w:sz w:val="28"/>
          <w:szCs w:val="28"/>
        </w:rPr>
        <w:t xml:space="preserve">городского округа Щёлково </w:t>
      </w:r>
      <w:r>
        <w:rPr>
          <w:sz w:val="28"/>
          <w:szCs w:val="28"/>
        </w:rPr>
        <w:t>(указывается наименование муниципального образования),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87446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F624F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D1AA3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 социальной газификации,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9387C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</w:t>
      </w:r>
      <w:r>
        <w:rPr>
          <w:sz w:val="28"/>
          <w:szCs w:val="28"/>
        </w:rPr>
        <w:lastRenderedPageBreak/>
        <w:t>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 xml:space="preserve"> (указывается наименование муниципального образования),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</w:t>
      </w:r>
      <w:r>
        <w:rPr>
          <w:sz w:val="28"/>
          <w:szCs w:val="28"/>
        </w:rPr>
        <w:lastRenderedPageBreak/>
        <w:t>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29.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9387C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30.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иные правообладатели объекта недвижимости, расположенного на территории Московской области, имеющие </w:t>
      </w:r>
      <w:r>
        <w:rPr>
          <w:sz w:val="28"/>
          <w:szCs w:val="28"/>
        </w:rPr>
        <w:lastRenderedPageBreak/>
        <w:t>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производство земляных работ в рамках региональной программы по социальной газификации.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 социальной газификации,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336DA8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336DA8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лично, почтовым отправлением,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поступления, </w:t>
      </w:r>
      <w:r>
        <w:rPr>
          <w:sz w:val="28"/>
          <w:szCs w:val="28"/>
        </w:rPr>
        <w:lastRenderedPageBreak/>
        <w:t>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336DA8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336DA8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 Администрацию лично, по электронной почте)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3 (трёх) рабочих дней со дня регистрации такого заявления.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336DA8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 Администрацию лично, по электронной почте)</w:t>
      </w:r>
      <w:r w:rsidRPr="00336DA8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3 (трёх) рабочих дней со дня обнаружения таких опечаток и ошибок.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8"/>
      <w:bookmarkEnd w:id="18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9 к 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5850BF" w:rsidRPr="00336DA8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указанных в подпунктах 17.1.1 ‒ 17.1.3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⁠-⁠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⁠-⁠ графическую часть: схема производства работ на инженерно⁠-⁠топографическом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древесно⁠-⁠кустарниковой и травянистой растительности; зонами отстоя транспорта; местами установки ограждений.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Инженерно⁠⁠-⁠⁠топографический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11⁠⁠-⁠⁠02⁠⁠-⁠⁠96» и СП 11⁠⁠-⁠⁠104⁠⁠-⁠⁠97 «Инженерно⁠⁠-⁠⁠геодезические изыскания для строительства», в Местной системе координат Московской области (МСК⁠⁠-⁠⁠50) и Балтийской системе высот. На инженерно⁠⁠-⁠⁠топографическом плане должны быть нанесены существующие и проектируемые инженерные подземные коммуникации (сооружения). Срок действия инженерно⁠⁠-⁠⁠топографического плана не более 2 лет с момента его изготовления с учетом требований подпункта 5.189⁠⁠-</w:t>
      </w:r>
      <w:r>
        <w:rPr>
          <w:sz w:val="28"/>
          <w:szCs w:val="28"/>
        </w:rPr>
        <w:lastRenderedPageBreak/>
        <w:t xml:space="preserve">⁠⁠5.199 СП 11⁠⁠-⁠⁠104⁠⁠-⁠⁠97 «Инженерно⁠⁠-⁠⁠геодезические изыскания для строительства».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использование инженерно⁠⁠-⁠⁠топографического плана, изготовленного более 2 лет назад, при условии его обновления в соответствии с требованиями п. 5.3.4 СП 317.1325800.2017 «Инженерно⁠-⁠геодезические изыскания для строительства. Общие правила производства работ».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ископаемых, добычи торфа).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Договор, содержащий право физическим лицам заключать договоры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осуществлять проведение земляных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смены исполнителя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19.1.4 пункта 19.1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19.1.3 пункта 19.1 Регламента. Заявителем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19.1.4 пункта 19.1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авторизации </w:t>
      </w:r>
      <w:r w:rsidRPr="00336DA8">
        <w:rPr>
          <w:sz w:val="28"/>
          <w:szCs w:val="28"/>
        </w:rPr>
        <w:lastRenderedPageBreak/>
        <w:t>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 w:rsidRPr="000554EB">
        <w:rPr>
          <w:sz w:val="28"/>
          <w:szCs w:val="28"/>
        </w:rPr>
        <w:t xml:space="preserve">(печатью </w:t>
      </w:r>
      <w:r w:rsidRPr="00336DA8">
        <w:rPr>
          <w:sz w:val="28"/>
          <w:szCs w:val="28"/>
        </w:rPr>
        <w:t>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днем поступления запроса, направляется заявителю: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отправлением;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0554EB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0554EB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554EB">
        <w:rPr>
          <w:sz w:val="28"/>
          <w:szCs w:val="28"/>
        </w:rPr>
        <w:t>Межведомственное информационное взаимодействие.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система межведомственного электронного взаимодействия.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Межведомственные информационные запросы направляются в: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момента регистрации запроса заявителя </w:t>
      </w:r>
      <w:r w:rsidRPr="00336DA8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переходе прав.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межведомственные информационные запросы.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19.1.7 пункта 19.1 Регламента.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0554EB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0554EB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0554EB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пребывания.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1" w:name="__DdeLink__6048_2857491986_Copy_1"/>
      <w:bookmarkEnd w:id="21"/>
      <w:r>
        <w:rPr>
          <w:sz w:val="28"/>
          <w:szCs w:val="28"/>
        </w:rPr>
        <w:t>указанных в подпунктах 17.1.4 ‒ 17.1.6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_Copy_1"/>
      <w:bookmarkEnd w:id="2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 xml:space="preserve">по электронной почте предоставляется электронный образ документа, который должен быть подписан собственноручной подписью заявителя </w:t>
      </w:r>
      <w:r w:rsidRPr="00336DA8">
        <w:rPr>
          <w:sz w:val="28"/>
          <w:szCs w:val="28"/>
        </w:rPr>
        <w:lastRenderedPageBreak/>
        <w:t>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⁠-⁠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⁠-⁠ графическую часть: схема производства работ на инженерно⁠-⁠топографическом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</w:t>
      </w:r>
      <w:r>
        <w:rPr>
          <w:sz w:val="28"/>
          <w:szCs w:val="28"/>
        </w:rPr>
        <w:lastRenderedPageBreak/>
        <w:t xml:space="preserve">сетям; местами размещения грузоподъемной и землеройной техники; сведениями о древесно⁠-⁠кустарниковой и травянистой растительности; зонами отстоя транспорта; местами установки ограждений.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Инженерно⁠⁠-⁠⁠топографический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11⁠⁠-⁠⁠02⁠⁠-⁠⁠96» и СП 11⁠⁠-⁠⁠104⁠⁠-⁠⁠97 «Инженерно⁠⁠-⁠⁠геодезические изыскания для строительства», в Местной системе координат Московской области (МСК⁠⁠-⁠⁠50) и Балтийской системе высот. На инженерно⁠⁠-⁠⁠топографическом плане должны быть нанесены существующие и проектируемые инженерные подземные коммуникации (сооружения). Срок действия инженерно⁠⁠-⁠⁠топографического плана не более 2 лет с момента его изготовления с учетом требований подпункта 5.189⁠⁠-⁠⁠5.199 СП 11⁠⁠-⁠⁠104⁠⁠-⁠⁠97 «Инженерно⁠⁠-⁠⁠геодезические изыскания для строительства».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использование инженерно⁠⁠-⁠⁠топографического плана, изготовленного более 2 лет назад, при условии его обновления в соответствии с требованиями п. 5.3.4 СП 317.1325800.2017 «Инженерно⁠-⁠геодезические изыскания для строительства. Общие правила производства работ».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ископаемых, добычи торфа).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Договор, содержащий право юридическим лицам заключать договоры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осуществлять проведение земляных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B1A6F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19.2.4 пункта 19.2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19.2.3 пункта 19.2 Регламента. Заявителем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19.2.4 пункта 19.2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 w:rsidRPr="00CB1A6F">
        <w:rPr>
          <w:sz w:val="28"/>
          <w:szCs w:val="28"/>
        </w:rPr>
        <w:t xml:space="preserve">(печатью </w:t>
      </w:r>
      <w:r w:rsidRPr="00336DA8">
        <w:rPr>
          <w:sz w:val="28"/>
          <w:szCs w:val="28"/>
        </w:rPr>
        <w:t>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:rsidR="005850BF" w:rsidRPr="00CB1A6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 w:rsidRPr="00CB1A6F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днем поступления запроса, направляется заявителю: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отправлением;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CB1A6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B1A6F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>Межведомственное информационное взаимодействие.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система межведомственного электронного взаимодействия.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Межведомственные информационные запросы направляются в: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налоговую службу. Наименование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ЕГРЮЛ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переходе прав.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межведомственные информационные запросы.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19.2.7 пункта 19.2 Регламента.</w:t>
      </w:r>
    </w:p>
    <w:p w:rsidR="005850BF" w:rsidRPr="00CB1A6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 w:rsidRPr="00CB1A6F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CB1A6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B1A6F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нахождения.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Администрации). 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3" w:name="__DdeLink__6048_2857491986_Copy_2"/>
      <w:bookmarkEnd w:id="23"/>
      <w:r>
        <w:rPr>
          <w:sz w:val="28"/>
          <w:szCs w:val="28"/>
        </w:rPr>
        <w:t>указанных в подпунктах 17.1.7 ‒ 17.1.9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_Copy_2"/>
      <w:bookmarkEnd w:id="24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смены исполнителя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инженерно⁠-⁠технического обеспечения).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⁠-⁠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⁠-⁠ графическую часть: схема производства работ на инженерно⁠-⁠топографическом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древесно⁠-⁠кустарниковой и травянистой растительности; зонами отстоя транспорта; местами установки ограждений.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Инженерно⁠⁠-⁠⁠топографический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11⁠⁠-⁠⁠02⁠⁠-⁠⁠96» и СП 11⁠⁠-⁠⁠104⁠⁠-⁠⁠97 «Инженерно⁠⁠-⁠⁠геодезические изыскания для строительства», в Местной системе координат Московской области (МСК⁠⁠-⁠⁠50) и Балтийской системе высот. На инженерно⁠⁠-⁠⁠топографическом плане должны быть нанесены существующие и проектируемые инженерные подземные коммуникации (сооружения). Срок действия инженерно⁠⁠-⁠⁠топографического плана не более 2 лет с момента его изготовления с учетом требований подпункта 5.189⁠⁠-⁠⁠5.199 СП 11⁠⁠-⁠⁠104⁠⁠-⁠⁠97 «Инженерно⁠⁠-⁠⁠геодезические изыскания для строительства».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Допускается использование инженерно⁠⁠-⁠⁠топографического плана, изготовленного более 2 лет назад, при условии его обновления в соответствии с требованиями п. 5.3.4 СП 317.1325800.2017 «Инженерно⁠-⁠геодезические изыскания для строительства. Общие правила производства работ».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ископаемых, добычи торфа).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Договор, содержащий право индивидуальным предпринимателям заключать договоры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осуществлять проведение земляных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19.3.4 </w:t>
      </w:r>
      <w:r>
        <w:rPr>
          <w:sz w:val="28"/>
          <w:szCs w:val="28"/>
        </w:rPr>
        <w:lastRenderedPageBreak/>
        <w:t>пункта 19.3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19.3.3 пункта 19.3 Регламента. Заявителем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19.3.4 пункта 19.3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19.3.5 пункта 19.3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днем поступления запроса, направляется заявителю: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отправлением;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система межведомственного электронного взаимодействия.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Межведомственные информационные запросы направляются в: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налоговую службу. Наименование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ЕГРИП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момента регистрации запроса заявителя </w:t>
      </w:r>
      <w:r w:rsidRPr="00336DA8">
        <w:rPr>
          <w:sz w:val="28"/>
          <w:szCs w:val="28"/>
        </w:rPr>
        <w:lastRenderedPageBreak/>
        <w:t>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⁠–⁠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переходе прав.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межведомственные информационные запросы.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19.3.7 пункта 19.3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пребывания.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10, 11, 12, 13, 14, 15, 16, 17, 18, 19,</w:t>
      </w:r>
      <w:r>
        <w:rPr>
          <w:sz w:val="28"/>
          <w:szCs w:val="28"/>
        </w:rPr>
        <w:t xml:space="preserve"> </w:t>
      </w:r>
      <w:bookmarkStart w:id="25" w:name="__DdeLink__6048_2857491986_Copy_3"/>
      <w:bookmarkEnd w:id="25"/>
      <w:r>
        <w:rPr>
          <w:sz w:val="28"/>
          <w:szCs w:val="28"/>
        </w:rPr>
        <w:t>указанных в подпунктах 17.1.10 ‒ 17.1.19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закрытии ордера на право производства земляных работ», который оформляется в соответствии с Приложением 2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_Copy_3"/>
      <w:bookmarkEnd w:id="26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закрытие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осуществляется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3 рабочих дней после истечения срока действия ранее выданного ордера.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закрытие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позднее 3 рабочих дней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является основанием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заявителю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Акт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завершении земляных работ, засыпке траншеи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организациями, интересы которых были затронуты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проведении работ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противоречивых сведений в запросе и приложенных к нему документах (в части сроков, адреса проведения земляных работ, </w:t>
      </w:r>
      <w:r>
        <w:rPr>
          <w:sz w:val="28"/>
          <w:szCs w:val="28"/>
        </w:rPr>
        <w:lastRenderedPageBreak/>
        <w:t>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19.7.3 пункта 19.7 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благоустройство не выполнено в полном объеме.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19.7.3 пункта 19.7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авторизации </w:t>
      </w:r>
      <w:r w:rsidRPr="00336DA8">
        <w:rPr>
          <w:sz w:val="28"/>
          <w:szCs w:val="28"/>
        </w:rPr>
        <w:lastRenderedPageBreak/>
        <w:t>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законодательством Российской Федерации.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материалах, </w:t>
      </w:r>
      <w:r w:rsidRPr="00336DA8">
        <w:rPr>
          <w:sz w:val="28"/>
          <w:szCs w:val="28"/>
        </w:rPr>
        <w:lastRenderedPageBreak/>
        <w:t>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заявления,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19.7.7 пункта 19.7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5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20, 21, 22, 23, 24, 25, 26, 27, 28,</w:t>
      </w:r>
      <w:r>
        <w:rPr>
          <w:sz w:val="28"/>
          <w:szCs w:val="28"/>
        </w:rPr>
        <w:t xml:space="preserve"> </w:t>
      </w:r>
      <w:bookmarkStart w:id="27" w:name="__DdeLink__6048_2857491986_Copy_4"/>
      <w:bookmarkEnd w:id="27"/>
      <w:r>
        <w:rPr>
          <w:sz w:val="28"/>
          <w:szCs w:val="28"/>
        </w:rPr>
        <w:t>указанных в подпунктах 17.1.20 ‒ 17.1.28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аварийно⁠-⁠восстановительных работ», который оформляется в соответствии с Приложением 3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3 (три) рабочих дня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8" w:name="_anchor_96_Копия_1_Copy_4"/>
      <w:bookmarkEnd w:id="28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случае необходимости ликвидации аварий, устранения неисправностей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инженерных сетях, требующих безотлагательного проведения аварийно⁠-⁠восстановительных работ,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условии невозможности оформления соответствующего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порядке, проведение аварийно⁠-⁠восстановительных работ может быть осуществлено незамедлительно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последующей подачей лицами,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разделе 2 Регламента,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суток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начала аварийно⁠-⁠восстановительных работ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аварийно⁠-⁠восстановительных работ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Продолжительность аварийно⁠-⁠восстановительных работ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ликвидации аварий, устранения неисправностей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инженерных сетях должна составлять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более четырнадцати суток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возникновения аварии.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случае незавершения работ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ликвидации аварии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срока, установленного ордером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аварийно⁠-⁠восстановительных работ, необходимо получение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плановых работ. Ордер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аварийно⁠-⁠восстановительных работ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продлевается.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приказ </w:t>
      </w:r>
      <w:r>
        <w:rPr>
          <w:sz w:val="28"/>
          <w:szCs w:val="28"/>
        </w:rPr>
        <w:lastRenderedPageBreak/>
        <w:t>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Документ, подтверждающий уведомление организаций, эксплуатирующих инженерные сети, сооружения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коммуникации, расположенные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смежных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аварией земельных участках,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предстоящих аварийных работах.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Схема участка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Документ, подтверждающий уведомление Единой дежурно⁠-⁠диспетчерской службы.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противоречивых сведений в запросе и приложенных к нему документах (в части сроков, адреса проведения земляных работ, </w:t>
      </w:r>
      <w:r>
        <w:rPr>
          <w:sz w:val="28"/>
          <w:szCs w:val="28"/>
        </w:rPr>
        <w:lastRenderedPageBreak/>
        <w:t>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19.5.3 пункта 19.5 Регламента, по форме или содержанию требованиям законодательства Российской 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19.5.3 пункта 19.5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авторизации посредством подтвержденной учетной записи ЕСИА запрос считается </w:t>
      </w:r>
      <w:r w:rsidRPr="00336DA8">
        <w:rPr>
          <w:sz w:val="28"/>
          <w:szCs w:val="28"/>
        </w:rPr>
        <w:lastRenderedPageBreak/>
        <w:t>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предоставления Услуги, предусмотренных подпунктом 19.5.5 пункта 19.5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19.5.7 пункта 19.5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3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виде распечатанного </w:t>
      </w:r>
      <w:r w:rsidRPr="00336DA8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29, 30, 31, 32, 33, 34, 35, 36, 37,</w:t>
      </w:r>
      <w:r>
        <w:rPr>
          <w:sz w:val="28"/>
          <w:szCs w:val="28"/>
        </w:rPr>
        <w:t xml:space="preserve"> </w:t>
      </w:r>
      <w:bookmarkStart w:id="29" w:name="__DdeLink__6048_2857491986_Copy_5"/>
      <w:bookmarkEnd w:id="29"/>
      <w:r>
        <w:rPr>
          <w:sz w:val="28"/>
          <w:szCs w:val="28"/>
        </w:rPr>
        <w:t>указанных в подпунктах 17.1.29 ‒ 17.1.37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5 (пять)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5 (пять)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0" w:name="_anchor_96_Копия_1_Copy_5"/>
      <w:bookmarkEnd w:id="3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переоформление (продление) действия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осуществляется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менее чем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5 дней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истечения срока действия ранее выданного ордера.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заявления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переоформление (продление) действия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позднее 5 дней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истечения срока действия ранее выданного ордера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является основанием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заявителю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муниципальной услуги.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Переоформление (продление) ордера осуществляется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более двух раз.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смены исполнителя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изменения технических решений).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ордер продлевался дважды;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19.6.3 пункта 19.6 Регламента, по форме или содержанию требованиям законодательства Российской 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19.6.3 пункта 19.6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19.6.7 пункта 19.6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4 </w:t>
      </w:r>
      <w:r w:rsidRPr="00336DA8">
        <w:rPr>
          <w:sz w:val="28"/>
          <w:szCs w:val="28"/>
        </w:rPr>
        <w:lastRenderedPageBreak/>
        <w:t>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бумажном носителе экземпляр </w:t>
      </w:r>
      <w:r w:rsidRPr="00336DA8">
        <w:rPr>
          <w:sz w:val="28"/>
          <w:szCs w:val="28"/>
        </w:rPr>
        <w:lastRenderedPageBreak/>
        <w:t>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пятого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варианта 38,</w:t>
      </w:r>
      <w:r>
        <w:rPr>
          <w:sz w:val="28"/>
          <w:szCs w:val="28"/>
        </w:rPr>
        <w:t xml:space="preserve"> </w:t>
      </w:r>
      <w:bookmarkStart w:id="31" w:name="__DdeLink__6048_2857491986_Copy_6"/>
      <w:bookmarkEnd w:id="31"/>
      <w:r>
        <w:rPr>
          <w:sz w:val="28"/>
          <w:szCs w:val="28"/>
        </w:rPr>
        <w:t>указанного в подпункте 17.1.38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производство земляных работ в рамках региональной программы по социальной газификации», который оформляется в соответствии с Приложением 5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.2. Срок предоставления Услуги составляет 3 (три) рабочих дня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2" w:name="_anchor_96_Копия_1_Copy_6"/>
      <w:bookmarkEnd w:id="3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приказ о назначении физического лица на должность, в соответствии с которым такое </w:t>
      </w:r>
      <w:r>
        <w:rPr>
          <w:sz w:val="28"/>
          <w:szCs w:val="28"/>
        </w:rPr>
        <w:lastRenderedPageBreak/>
        <w:t>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Схема размещения газопровода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программе социальной газификации.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подпункте 19.4.3 пункта 19.4 Регламента, по форме или содержанию требованиям законодательства Российской 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336DA8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19.4.3 пункта 19.4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предоставления Услуги, предусмотренных подпунктом 19.4.5 пункта 19.4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19.4.7 пункта 19.4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ее предоставлении </w:t>
      </w:r>
      <w:r w:rsidRPr="00336DA8">
        <w:rPr>
          <w:sz w:val="28"/>
          <w:szCs w:val="28"/>
        </w:rPr>
        <w:lastRenderedPageBreak/>
        <w:t>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  <w:bookmarkStart w:id="33" w:name="_anchor_96"/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Par372_Копия_1"/>
      <w:bookmarkStart w:id="35" w:name="_Toc125717110_Копия_1"/>
      <w:bookmarkEnd w:id="34"/>
      <w:bookmarkEnd w:id="35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 Формы контроля за исполнением Регламента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336DA8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решений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336DA8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6" w:name="_Toc125717112"/>
      <w:bookmarkEnd w:id="36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4"/>
      <w:bookmarkEnd w:id="37"/>
      <w:r>
        <w:rPr>
          <w:b w:val="0"/>
          <w:bCs w:val="0"/>
          <w:sz w:val="28"/>
          <w:szCs w:val="28"/>
        </w:rPr>
        <w:lastRenderedPageBreak/>
        <w:t>23. Положения, характеризующие требования к порядку и формам контроля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 в том числе со стороны граждан,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5850BF" w:rsidRDefault="005850BF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</w:t>
      </w: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Toc125717116"/>
      <w:bookmarkEnd w:id="38"/>
      <w:r>
        <w:rPr>
          <w:b w:val="0"/>
          <w:bCs w:val="0"/>
          <w:sz w:val="28"/>
          <w:szCs w:val="28"/>
        </w:rPr>
        <w:lastRenderedPageBreak/>
        <w:t>24. Способы информирования заявителей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9" w:name="_Toc125717117"/>
      <w:bookmarkEnd w:id="33"/>
      <w:bookmarkEnd w:id="39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</w:t>
      </w:r>
      <w:bookmarkStart w:id="40" w:name="_GoBack"/>
      <w:bookmarkEnd w:id="40"/>
      <w:r>
        <w:rPr>
          <w:sz w:val="28"/>
          <w:szCs w:val="28"/>
          <w:lang w:eastAsia="ar-SA"/>
        </w:rPr>
        <w:t>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336DA8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целях незамедлительного устранения выявленных нарушений </w:t>
      </w:r>
      <w:r>
        <w:rPr>
          <w:sz w:val="28"/>
          <w:szCs w:val="28"/>
        </w:rPr>
        <w:lastRenderedPageBreak/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sectPr w:rsidR="005850BF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78D" w:rsidRDefault="0051078D">
      <w:pPr>
        <w:spacing w:after="0" w:line="240" w:lineRule="auto"/>
      </w:pPr>
      <w:r>
        <w:separator/>
      </w:r>
    </w:p>
  </w:endnote>
  <w:endnote w:type="continuationSeparator" w:id="0">
    <w:p w:rsidR="0051078D" w:rsidRDefault="0051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StarSymbol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78D" w:rsidRDefault="0051078D">
      <w:pPr>
        <w:spacing w:after="0" w:line="240" w:lineRule="auto"/>
      </w:pPr>
      <w:r>
        <w:separator/>
      </w:r>
    </w:p>
  </w:footnote>
  <w:footnote w:type="continuationSeparator" w:id="0">
    <w:p w:rsidR="0051078D" w:rsidRDefault="0051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4EB" w:rsidRDefault="000554EB">
    <w:pPr>
      <w:pStyle w:val="af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653D10">
      <w:rPr>
        <w:noProof/>
        <w:sz w:val="28"/>
        <w:szCs w:val="28"/>
      </w:rPr>
      <w:t>95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4EB" w:rsidRDefault="000554EB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653D10">
      <w:rPr>
        <w:noProof/>
      </w:rPr>
      <w:t>86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8539F"/>
    <w:multiLevelType w:val="multilevel"/>
    <w:tmpl w:val="5EF4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1A2072C"/>
    <w:multiLevelType w:val="multilevel"/>
    <w:tmpl w:val="8D14B2D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526257"/>
    <w:multiLevelType w:val="multilevel"/>
    <w:tmpl w:val="FD30B74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C3650C6"/>
    <w:multiLevelType w:val="multilevel"/>
    <w:tmpl w:val="F746CE2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41E2904"/>
    <w:multiLevelType w:val="multilevel"/>
    <w:tmpl w:val="94D2ACD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850BF"/>
    <w:rsid w:val="000554EB"/>
    <w:rsid w:val="00117DB5"/>
    <w:rsid w:val="00336DA8"/>
    <w:rsid w:val="00364C2F"/>
    <w:rsid w:val="00393AEF"/>
    <w:rsid w:val="0051078D"/>
    <w:rsid w:val="005850BF"/>
    <w:rsid w:val="00653D10"/>
    <w:rsid w:val="009D1AA3"/>
    <w:rsid w:val="009F624F"/>
    <w:rsid w:val="00A369F6"/>
    <w:rsid w:val="00A87446"/>
    <w:rsid w:val="00A9387C"/>
    <w:rsid w:val="00CB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3649"/>
  <w15:docId w15:val="{1E2FBD89-BFDC-43AA-B7A5-57F4DEF7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60486</TotalTime>
  <Pages>95</Pages>
  <Words>29206</Words>
  <Characters>166475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1821</cp:revision>
  <dcterms:created xsi:type="dcterms:W3CDTF">2025-07-22T09:20:00Z</dcterms:created>
  <dcterms:modified xsi:type="dcterms:W3CDTF">2025-08-25T08:04:00Z</dcterms:modified>
  <dc:language>en-US</dc:language>
</cp:coreProperties>
</file>